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1</w:t>
      </w:r>
    </w:p>
    <w:p>
      <w:pPr>
        <w:tabs>
          <w:tab w:val="left" w:pos="1620"/>
        </w:tabs>
        <w:adjustRightIn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3"/>
        <w:spacing w:before="0" w:after="0"/>
        <w:jc w:val="center"/>
        <w:rPr>
          <w:rFonts w:ascii="黑体" w:eastAsia="黑体" w:cs="Times New Roman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</w:t>
      </w:r>
      <w:r>
        <w:rPr>
          <w:rFonts w:hint="eastAsia" w:ascii="宋体" w:hAnsi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  <w:szCs w:val="24"/>
        </w:rPr>
        <w:t>年记账式（附息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贴现）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/>
          <w:sz w:val="24"/>
        </w:rPr>
        <w:t>________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期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国债发行（竞争性</w:t>
      </w:r>
      <w:r>
        <w:rPr>
          <w:rFonts w:ascii="宋体" w:hAnsi="宋体" w:cs="宋体"/>
          <w:sz w:val="24"/>
          <w:szCs w:val="24"/>
        </w:rPr>
        <w:t>/</w:t>
      </w:r>
      <w:r>
        <w:rPr>
          <w:rFonts w:hint="eastAsia" w:ascii="宋体" w:hAnsi="宋体" w:cs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投标日期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年月日【要素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noWrap w:val="0"/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noWrap w:val="0"/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noWrap w:val="0"/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="62" w:beforeLines="20" w:after="0"/>
        <w:ind w:firstLine="204" w:firstLineChars="97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（注：标位不够可自行添加）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textAlignment w:val="auto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11" w:firstLineChars="196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.应急投标书填写须清晰，不得涂改。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firstLine="420" w:firstLineChars="200"/>
        <w:textAlignment w:val="auto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.本应急投标书进行电子密押计算时共有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在电子密押器中已默认显示，如与应急投标书不符时，请手工修正密押器的要素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按应急投标书所填内容顺序输入密押器，输入内容与应急投标书填写内容必须完全一致。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20" w:firstLineChars="200"/>
        <w:textAlignment w:val="auto"/>
        <w:rPr>
          <w:sz w:val="32"/>
          <w:szCs w:val="32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5D24"/>
    <w:rsid w:val="6CAE8671"/>
    <w:rsid w:val="6F7F5D24"/>
    <w:rsid w:val="792E9B37"/>
    <w:rsid w:val="7BFB5197"/>
    <w:rsid w:val="7BFF1389"/>
    <w:rsid w:val="7FEEA5F9"/>
    <w:rsid w:val="7FF74D31"/>
    <w:rsid w:val="B0D62159"/>
    <w:rsid w:val="DFF7BC27"/>
    <w:rsid w:val="FDFFC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2022-10-28T14:55:00Z</dcterms:created>
  <dc:creator>mengze</dc:creator>
  <cp:lastModifiedBy>fengxue</cp:lastModifiedBy>
  <dcterms:modified xsi:type="dcterms:W3CDTF">2023-01-04T15:20:24Z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