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2B" w:rsidRDefault="00C95D2B" w:rsidP="00C95D2B">
      <w:pPr>
        <w:rPr>
          <w:rFonts w:ascii="仿宋" w:eastAsia="仿宋" w:hAnsi="仿宋"/>
          <w:sz w:val="32"/>
          <w:szCs w:val="32"/>
        </w:rPr>
      </w:pPr>
      <w:r w:rsidRPr="00C95D2B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2：地方债券</w:t>
      </w:r>
      <w:r w:rsidRPr="00C95D2B">
        <w:rPr>
          <w:rFonts w:ascii="仿宋" w:eastAsia="仿宋" w:hAnsi="仿宋" w:hint="eastAsia"/>
          <w:sz w:val="32"/>
          <w:szCs w:val="32"/>
        </w:rPr>
        <w:t>数据相关图表</w:t>
      </w:r>
    </w:p>
    <w:p w:rsidR="00C95D2B" w:rsidRPr="00C95D2B" w:rsidRDefault="00C95D2B" w:rsidP="00C95D2B">
      <w:pPr>
        <w:rPr>
          <w:rFonts w:ascii="仿宋" w:eastAsia="仿宋" w:hAnsi="仿宋"/>
          <w:sz w:val="32"/>
          <w:szCs w:val="32"/>
        </w:rPr>
      </w:pPr>
    </w:p>
    <w:p w:rsidR="00BD04E3" w:rsidRDefault="00817BEE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一、地方债券发行情况</w:t>
      </w:r>
    </w:p>
    <w:p w:rsidR="00BD04E3" w:rsidRDefault="00817BEE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（一）发行量。</w:t>
      </w:r>
    </w:p>
    <w:p w:rsidR="00BD04E3" w:rsidRDefault="00817BEE">
      <w:pPr>
        <w:ind w:firstLineChars="200" w:firstLine="480"/>
        <w:jc w:val="righ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单位：亿元</w:t>
      </w:r>
    </w:p>
    <w:p w:rsidR="00BD04E3" w:rsidRDefault="00817BEE">
      <w:pPr>
        <w:jc w:val="left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285740" cy="6495415"/>
            <wp:effectExtent l="4445" t="4445" r="5715" b="1524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04E3" w:rsidRDefault="00817BEE">
      <w:pPr>
        <w:spacing w:line="360" w:lineRule="auto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图1：2019年地方债券发行量（分地区）</w:t>
      </w:r>
    </w:p>
    <w:p w:rsidR="00BD04E3" w:rsidRDefault="00817BEE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（二）平均发行期限。</w:t>
      </w:r>
    </w:p>
    <w:p w:rsidR="00BD04E3" w:rsidRDefault="00817BEE">
      <w:pPr>
        <w:spacing w:line="360" w:lineRule="auto"/>
        <w:ind w:firstLineChars="200" w:firstLine="480"/>
        <w:jc w:val="righ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单位：年</w:t>
      </w:r>
    </w:p>
    <w:p w:rsidR="00BD04E3" w:rsidRDefault="00817BEE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311775" cy="7682230"/>
            <wp:effectExtent l="4445" t="4445" r="17780" b="9525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04E3" w:rsidRDefault="00817BE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图2：2019年地方债券平均发行期限（分地区）</w:t>
      </w:r>
    </w:p>
    <w:p w:rsidR="00BD04E3" w:rsidRDefault="00817BEE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（三）平均发行利率。</w:t>
      </w:r>
    </w:p>
    <w:p w:rsidR="00BD04E3" w:rsidRDefault="00817BEE">
      <w:pPr>
        <w:spacing w:line="360" w:lineRule="auto"/>
        <w:ind w:firstLineChars="200" w:firstLine="480"/>
        <w:jc w:val="righ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单位：百分比</w:t>
      </w:r>
    </w:p>
    <w:p w:rsidR="00BD04E3" w:rsidRDefault="00817BEE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272405" cy="7601585"/>
            <wp:effectExtent l="4445" t="4445" r="19050" b="13970"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04E3" w:rsidRDefault="00817BE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图3：2019年地方债券平均发行利率（分地区）</w:t>
      </w:r>
    </w:p>
    <w:p w:rsidR="00BD04E3" w:rsidRDefault="00817BEE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（四）发行利率与国债利差。</w:t>
      </w:r>
    </w:p>
    <w:p w:rsidR="00BD04E3" w:rsidRDefault="00817BEE">
      <w:pPr>
        <w:spacing w:line="360" w:lineRule="auto"/>
        <w:ind w:firstLineChars="200" w:firstLine="480"/>
        <w:jc w:val="righ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单位：BP</w:t>
      </w:r>
    </w:p>
    <w:p w:rsidR="00BD04E3" w:rsidRDefault="00817BEE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402580" cy="7267575"/>
            <wp:effectExtent l="4445" t="4445" r="22225" b="5080"/>
            <wp:docPr id="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04E3" w:rsidRDefault="00817BE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图4：2019年地方债券发行利率与国债利差（分地区）</w:t>
      </w:r>
    </w:p>
    <w:p w:rsidR="000536DE" w:rsidRDefault="000536DE">
      <w:pPr>
        <w:spacing w:line="360" w:lineRule="auto"/>
        <w:ind w:firstLineChars="200" w:firstLine="640"/>
        <w:jc w:val="left"/>
        <w:rPr>
          <w:rFonts w:ascii="楷体" w:eastAsia="楷体" w:hAnsi="楷体" w:hint="eastAsia"/>
          <w:sz w:val="32"/>
          <w:szCs w:val="32"/>
        </w:rPr>
      </w:pPr>
    </w:p>
    <w:p w:rsidR="00BD04E3" w:rsidRDefault="00817BEE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（五）平均投标倍数。</w:t>
      </w:r>
    </w:p>
    <w:p w:rsidR="00BD04E3" w:rsidRDefault="00817BEE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338445" cy="8030845"/>
            <wp:effectExtent l="4445" t="4445" r="10160" b="22860"/>
            <wp:docPr id="9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BD04E3" w:rsidRDefault="00817BEE">
      <w:pPr>
        <w:spacing w:line="360" w:lineRule="auto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图5：2019年地方债券平均投标倍数（分地区）</w:t>
      </w:r>
    </w:p>
    <w:sectPr w:rsidR="00BD04E3" w:rsidSect="00BD04E3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0E0" w:rsidRDefault="000E60E0" w:rsidP="00BD04E3">
      <w:r>
        <w:separator/>
      </w:r>
    </w:p>
  </w:endnote>
  <w:endnote w:type="continuationSeparator" w:id="1">
    <w:p w:rsidR="000E60E0" w:rsidRDefault="000E60E0" w:rsidP="00BD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034190"/>
    </w:sdtPr>
    <w:sdtContent>
      <w:p w:rsidR="00BD04E3" w:rsidRDefault="00496FEF">
        <w:pPr>
          <w:pStyle w:val="a4"/>
          <w:jc w:val="center"/>
        </w:pPr>
        <w:r>
          <w:fldChar w:fldCharType="begin"/>
        </w:r>
        <w:r w:rsidR="00817BEE">
          <w:instrText>PAGE   \* MERGEFORMAT</w:instrText>
        </w:r>
        <w:r>
          <w:fldChar w:fldCharType="separate"/>
        </w:r>
        <w:r w:rsidR="00625943" w:rsidRPr="00625943">
          <w:rPr>
            <w:noProof/>
            <w:lang w:val="zh-CN"/>
          </w:rPr>
          <w:t>2</w:t>
        </w:r>
        <w:r>
          <w:fldChar w:fldCharType="end"/>
        </w:r>
      </w:p>
    </w:sdtContent>
  </w:sdt>
  <w:p w:rsidR="00BD04E3" w:rsidRDefault="00BD04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0E0" w:rsidRDefault="000E60E0" w:rsidP="00BD04E3">
      <w:r>
        <w:separator/>
      </w:r>
    </w:p>
  </w:footnote>
  <w:footnote w:type="continuationSeparator" w:id="1">
    <w:p w:rsidR="000E60E0" w:rsidRDefault="000E60E0" w:rsidP="00BD04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77094"/>
    <w:rsid w:val="000536DE"/>
    <w:rsid w:val="0006413C"/>
    <w:rsid w:val="000650FB"/>
    <w:rsid w:val="00067B55"/>
    <w:rsid w:val="000E60E0"/>
    <w:rsid w:val="00133983"/>
    <w:rsid w:val="00137D95"/>
    <w:rsid w:val="00146E30"/>
    <w:rsid w:val="00150D82"/>
    <w:rsid w:val="001732DA"/>
    <w:rsid w:val="00192682"/>
    <w:rsid w:val="001B1B24"/>
    <w:rsid w:val="001D4C9A"/>
    <w:rsid w:val="00222874"/>
    <w:rsid w:val="002824A8"/>
    <w:rsid w:val="0028584F"/>
    <w:rsid w:val="00291D67"/>
    <w:rsid w:val="002C6C4B"/>
    <w:rsid w:val="002C76D9"/>
    <w:rsid w:val="003051DA"/>
    <w:rsid w:val="0031545D"/>
    <w:rsid w:val="00354F73"/>
    <w:rsid w:val="003B2A83"/>
    <w:rsid w:val="00472EB7"/>
    <w:rsid w:val="00496FEF"/>
    <w:rsid w:val="004B057B"/>
    <w:rsid w:val="004C2654"/>
    <w:rsid w:val="004D47BA"/>
    <w:rsid w:val="004F67F2"/>
    <w:rsid w:val="005628DF"/>
    <w:rsid w:val="005C21E8"/>
    <w:rsid w:val="005C7607"/>
    <w:rsid w:val="00625943"/>
    <w:rsid w:val="00696373"/>
    <w:rsid w:val="006D5404"/>
    <w:rsid w:val="00700AAF"/>
    <w:rsid w:val="00774C55"/>
    <w:rsid w:val="007D223D"/>
    <w:rsid w:val="007F72FD"/>
    <w:rsid w:val="00817BEE"/>
    <w:rsid w:val="008771BD"/>
    <w:rsid w:val="008F1A24"/>
    <w:rsid w:val="009357D2"/>
    <w:rsid w:val="00945A9F"/>
    <w:rsid w:val="00977276"/>
    <w:rsid w:val="009B32FF"/>
    <w:rsid w:val="009B6939"/>
    <w:rsid w:val="009B6E0C"/>
    <w:rsid w:val="009D7C17"/>
    <w:rsid w:val="00A11F47"/>
    <w:rsid w:val="00A16CCD"/>
    <w:rsid w:val="00A30179"/>
    <w:rsid w:val="00A36D5D"/>
    <w:rsid w:val="00A80827"/>
    <w:rsid w:val="00AB098F"/>
    <w:rsid w:val="00AB5D0F"/>
    <w:rsid w:val="00AF1354"/>
    <w:rsid w:val="00B77094"/>
    <w:rsid w:val="00BB66D6"/>
    <w:rsid w:val="00BD04E3"/>
    <w:rsid w:val="00BF0274"/>
    <w:rsid w:val="00C74DEF"/>
    <w:rsid w:val="00C7563A"/>
    <w:rsid w:val="00C77AD4"/>
    <w:rsid w:val="00C95D2B"/>
    <w:rsid w:val="00C97C49"/>
    <w:rsid w:val="00CA2DC3"/>
    <w:rsid w:val="00CD241A"/>
    <w:rsid w:val="00D02346"/>
    <w:rsid w:val="00D2238C"/>
    <w:rsid w:val="00D22BB1"/>
    <w:rsid w:val="00D4488C"/>
    <w:rsid w:val="00D773E5"/>
    <w:rsid w:val="00DB580A"/>
    <w:rsid w:val="00DC0B20"/>
    <w:rsid w:val="00DC6DE0"/>
    <w:rsid w:val="00DD7171"/>
    <w:rsid w:val="00E117FF"/>
    <w:rsid w:val="00E669B4"/>
    <w:rsid w:val="00F00FAD"/>
    <w:rsid w:val="00F44DEE"/>
    <w:rsid w:val="00F6165D"/>
    <w:rsid w:val="00F71386"/>
    <w:rsid w:val="00FA323E"/>
    <w:rsid w:val="00FE275A"/>
    <w:rsid w:val="00FF33EF"/>
    <w:rsid w:val="02161EC7"/>
    <w:rsid w:val="04D43D8F"/>
    <w:rsid w:val="066E7E0E"/>
    <w:rsid w:val="077E51D9"/>
    <w:rsid w:val="0D8B1285"/>
    <w:rsid w:val="1C383C8E"/>
    <w:rsid w:val="1D126CB6"/>
    <w:rsid w:val="227013FB"/>
    <w:rsid w:val="2377183F"/>
    <w:rsid w:val="28CF538D"/>
    <w:rsid w:val="292A4733"/>
    <w:rsid w:val="2D594865"/>
    <w:rsid w:val="2DAC48F6"/>
    <w:rsid w:val="2DB955CA"/>
    <w:rsid w:val="2E055F37"/>
    <w:rsid w:val="412A3867"/>
    <w:rsid w:val="44064811"/>
    <w:rsid w:val="44DA6A78"/>
    <w:rsid w:val="48BB2B18"/>
    <w:rsid w:val="4C1B4BC3"/>
    <w:rsid w:val="51B90143"/>
    <w:rsid w:val="54217E34"/>
    <w:rsid w:val="5477441A"/>
    <w:rsid w:val="54843B1E"/>
    <w:rsid w:val="54E27885"/>
    <w:rsid w:val="55CF71A0"/>
    <w:rsid w:val="56CD2CEA"/>
    <w:rsid w:val="590F1655"/>
    <w:rsid w:val="5AA43B1D"/>
    <w:rsid w:val="5D5F05EF"/>
    <w:rsid w:val="5E755505"/>
    <w:rsid w:val="5FC41B93"/>
    <w:rsid w:val="62FD28ED"/>
    <w:rsid w:val="638F0EDB"/>
    <w:rsid w:val="644B3EE9"/>
    <w:rsid w:val="64E10594"/>
    <w:rsid w:val="66080493"/>
    <w:rsid w:val="689A67DF"/>
    <w:rsid w:val="69E76335"/>
    <w:rsid w:val="6B2120E1"/>
    <w:rsid w:val="70B50BA1"/>
    <w:rsid w:val="75610D90"/>
    <w:rsid w:val="7A1A3369"/>
    <w:rsid w:val="7BA913F4"/>
    <w:rsid w:val="7FED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D04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D0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D0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D04E3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D04E3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D04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sz\Desktop\&#27969;&#21160;&#24615;&#25968;&#25454;\12&#26376;\&#25968;&#25454;&#37319;&#38598;%2012&#26376;&#19968;&#32423;&#24066;&#22330;%20&#31446;&#2925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sz\Desktop\&#27969;&#21160;&#24615;&#25968;&#25454;\12&#26376;\&#25968;&#25454;&#37319;&#38598;%2012&#26376;&#19968;&#32423;&#24066;&#22330;%20&#31446;&#2925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sz\Desktop\&#27969;&#21160;&#24615;&#25968;&#25454;\12&#26376;\&#25968;&#25454;&#37319;&#38598;%2012&#26376;&#19968;&#32423;&#24066;&#22330;%20&#31446;&#2925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sz\Desktop\&#27969;&#21160;&#24615;&#25968;&#25454;\12&#26376;\&#25968;&#25454;&#37319;&#38598;%2012&#26376;&#19968;&#32423;&#24066;&#22330;%20&#31446;&#2925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sz\Desktop\&#27969;&#21160;&#24615;&#25968;&#25454;\12&#26376;\&#25968;&#25454;&#37319;&#38598;%2012&#26376;&#19968;&#32423;&#24066;&#22330;%20&#31446;&#2925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'[数据采集 12月一级市场 竖版.xlsx]1.发行量'!$B$1</c:f>
              <c:strCache>
                <c:ptCount val="1"/>
                <c:pt idx="0">
                  <c:v>发行量(亿元)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仿宋_GB2312" panose="02010609030101010101" charset="-122"/>
                    <a:ea typeface="仿宋_GB2312" panose="02010609030101010101" charset="-122"/>
                    <a:cs typeface="仿宋_GB2312" panose="02010609030101010101" charset="-122"/>
                    <a:sym typeface="仿宋_GB2312" panose="02010609030101010101" charset="-122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'[数据采集 12月一级市场 竖版.xlsx]1.发行量'!$A$2:$A$38</c:f>
              <c:strCache>
                <c:ptCount val="37"/>
                <c:pt idx="0">
                  <c:v>西藏</c:v>
                </c:pt>
                <c:pt idx="1">
                  <c:v>大连</c:v>
                </c:pt>
                <c:pt idx="2">
                  <c:v>厦门</c:v>
                </c:pt>
                <c:pt idx="3">
                  <c:v>宁波</c:v>
                </c:pt>
                <c:pt idx="4">
                  <c:v>兵团</c:v>
                </c:pt>
                <c:pt idx="5">
                  <c:v>青岛</c:v>
                </c:pt>
                <c:pt idx="6">
                  <c:v>深圳</c:v>
                </c:pt>
                <c:pt idx="7">
                  <c:v>宁夏</c:v>
                </c:pt>
                <c:pt idx="8">
                  <c:v>海南</c:v>
                </c:pt>
                <c:pt idx="9">
                  <c:v>青海</c:v>
                </c:pt>
                <c:pt idx="10">
                  <c:v>山西</c:v>
                </c:pt>
                <c:pt idx="11">
                  <c:v>吉林</c:v>
                </c:pt>
                <c:pt idx="12">
                  <c:v>甘肃</c:v>
                </c:pt>
                <c:pt idx="13">
                  <c:v>黑龙江</c:v>
                </c:pt>
                <c:pt idx="14">
                  <c:v>福建</c:v>
                </c:pt>
                <c:pt idx="15">
                  <c:v>广西</c:v>
                </c:pt>
                <c:pt idx="16">
                  <c:v>新疆</c:v>
                </c:pt>
                <c:pt idx="17">
                  <c:v>辽宁</c:v>
                </c:pt>
                <c:pt idx="18">
                  <c:v>江西</c:v>
                </c:pt>
                <c:pt idx="19">
                  <c:v>天津</c:v>
                </c:pt>
                <c:pt idx="20">
                  <c:v>内蒙</c:v>
                </c:pt>
                <c:pt idx="21">
                  <c:v>重庆</c:v>
                </c:pt>
                <c:pt idx="22">
                  <c:v>上海</c:v>
                </c:pt>
                <c:pt idx="23">
                  <c:v>贵州</c:v>
                </c:pt>
                <c:pt idx="24">
                  <c:v>北京</c:v>
                </c:pt>
                <c:pt idx="25">
                  <c:v>陕西</c:v>
                </c:pt>
                <c:pt idx="26">
                  <c:v>云南</c:v>
                </c:pt>
                <c:pt idx="27">
                  <c:v>安徽</c:v>
                </c:pt>
                <c:pt idx="28">
                  <c:v>河南</c:v>
                </c:pt>
                <c:pt idx="29">
                  <c:v>湖北</c:v>
                </c:pt>
                <c:pt idx="30">
                  <c:v>浙江</c:v>
                </c:pt>
                <c:pt idx="31">
                  <c:v>广东</c:v>
                </c:pt>
                <c:pt idx="32">
                  <c:v>四川</c:v>
                </c:pt>
                <c:pt idx="33">
                  <c:v>河北</c:v>
                </c:pt>
                <c:pt idx="34">
                  <c:v>山东</c:v>
                </c:pt>
                <c:pt idx="35">
                  <c:v>湖南</c:v>
                </c:pt>
                <c:pt idx="36">
                  <c:v>江苏</c:v>
                </c:pt>
              </c:strCache>
            </c:strRef>
          </c:cat>
          <c:val>
            <c:numRef>
              <c:f>'[数据采集 12月一级市场 竖版.xlsx]1.发行量'!$B$2:$B$38</c:f>
              <c:numCache>
                <c:formatCode>0_ </c:formatCode>
                <c:ptCount val="37"/>
                <c:pt idx="0">
                  <c:v>128</c:v>
                </c:pt>
                <c:pt idx="1">
                  <c:v>134.75469999999999</c:v>
                </c:pt>
                <c:pt idx="2">
                  <c:v>192</c:v>
                </c:pt>
                <c:pt idx="3">
                  <c:v>225.61679999999998</c:v>
                </c:pt>
                <c:pt idx="4">
                  <c:v>273.04000000000002</c:v>
                </c:pt>
                <c:pt idx="5">
                  <c:v>345.5</c:v>
                </c:pt>
                <c:pt idx="6">
                  <c:v>352.81</c:v>
                </c:pt>
                <c:pt idx="7">
                  <c:v>374.86420000000021</c:v>
                </c:pt>
                <c:pt idx="8">
                  <c:v>433.40679999999963</c:v>
                </c:pt>
                <c:pt idx="9">
                  <c:v>466.97319999999962</c:v>
                </c:pt>
                <c:pt idx="10">
                  <c:v>756.97199999999998</c:v>
                </c:pt>
                <c:pt idx="11">
                  <c:v>762.32929999999965</c:v>
                </c:pt>
                <c:pt idx="12">
                  <c:v>776.2364</c:v>
                </c:pt>
                <c:pt idx="13">
                  <c:v>905.25810000000001</c:v>
                </c:pt>
                <c:pt idx="14">
                  <c:v>963.80430000000001</c:v>
                </c:pt>
                <c:pt idx="15">
                  <c:v>994.58249999999998</c:v>
                </c:pt>
                <c:pt idx="16">
                  <c:v>1019.6</c:v>
                </c:pt>
                <c:pt idx="17">
                  <c:v>1100.1495</c:v>
                </c:pt>
                <c:pt idx="18">
                  <c:v>1171.6336999999999</c:v>
                </c:pt>
                <c:pt idx="19">
                  <c:v>1171.7</c:v>
                </c:pt>
                <c:pt idx="20">
                  <c:v>1233.52</c:v>
                </c:pt>
                <c:pt idx="21">
                  <c:v>1253.3</c:v>
                </c:pt>
                <c:pt idx="22">
                  <c:v>1267.5</c:v>
                </c:pt>
                <c:pt idx="23">
                  <c:v>1346.3150000000001</c:v>
                </c:pt>
                <c:pt idx="24">
                  <c:v>1401.4542999999999</c:v>
                </c:pt>
                <c:pt idx="25">
                  <c:v>1403.5035</c:v>
                </c:pt>
                <c:pt idx="26">
                  <c:v>1488.46</c:v>
                </c:pt>
                <c:pt idx="27">
                  <c:v>1627.9861000000001</c:v>
                </c:pt>
                <c:pt idx="28">
                  <c:v>1817.0711999999999</c:v>
                </c:pt>
                <c:pt idx="29">
                  <c:v>1987.1189999999999</c:v>
                </c:pt>
                <c:pt idx="30">
                  <c:v>2018.25</c:v>
                </c:pt>
                <c:pt idx="31">
                  <c:v>2056.0713000000019</c:v>
                </c:pt>
                <c:pt idx="32">
                  <c:v>2213.2007999999987</c:v>
                </c:pt>
                <c:pt idx="33">
                  <c:v>2220.4387999999999</c:v>
                </c:pt>
                <c:pt idx="34">
                  <c:v>2328.3900000000012</c:v>
                </c:pt>
                <c:pt idx="35">
                  <c:v>2560.1599000000001</c:v>
                </c:pt>
                <c:pt idx="36">
                  <c:v>2852.3</c:v>
                </c:pt>
              </c:numCache>
            </c:numRef>
          </c:val>
        </c:ser>
        <c:dLbls>
          <c:showVal val="1"/>
        </c:dLbls>
        <c:gapWidth val="182"/>
        <c:axId val="283275264"/>
        <c:axId val="283480448"/>
      </c:barChart>
      <c:catAx>
        <c:axId val="283275264"/>
        <c:scaling>
          <c:orientation val="minMax"/>
        </c:scaling>
        <c:axPos val="l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仿宋_GB2312" panose="02010609030101010101" charset="-122"/>
                <a:ea typeface="仿宋_GB2312" panose="02010609030101010101" charset="-122"/>
                <a:cs typeface="仿宋_GB2312" panose="02010609030101010101" charset="-122"/>
                <a:sym typeface="仿宋_GB2312" panose="02010609030101010101" charset="-122"/>
              </a:defRPr>
            </a:pPr>
            <a:endParaRPr lang="zh-CN"/>
          </a:p>
        </c:txPr>
        <c:crossAx val="283480448"/>
        <c:crosses val="autoZero"/>
        <c:auto val="1"/>
        <c:lblAlgn val="ctr"/>
        <c:lblOffset val="100"/>
      </c:catAx>
      <c:valAx>
        <c:axId val="28348044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 " sourceLinked="1"/>
        <c:majorTickMark val="none"/>
        <c:tickLblPos val="nextTo"/>
        <c:crossAx val="283275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000">
          <a:latin typeface="仿宋_GB2312" panose="02010609030101010101" charset="-122"/>
          <a:ea typeface="仿宋_GB2312" panose="02010609030101010101" charset="-122"/>
          <a:cs typeface="仿宋_GB2312" panose="02010609030101010101" charset="-122"/>
          <a:sym typeface="仿宋_GB2312" panose="02010609030101010101" charset="-122"/>
        </a:defRPr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'[数据采集 12月一级市场 竖版.xlsx]2.平均发行期限'!$B$1</c:f>
              <c:strCache>
                <c:ptCount val="1"/>
                <c:pt idx="0">
                  <c:v>平均发行期限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仿宋_GB2312" panose="02010609030101010101" charset="-122"/>
                    <a:ea typeface="仿宋_GB2312" panose="02010609030101010101" charset="-122"/>
                    <a:cs typeface="仿宋_GB2312" panose="02010609030101010101" charset="-122"/>
                    <a:sym typeface="仿宋_GB2312" panose="02010609030101010101" charset="-122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'[数据采集 12月一级市场 竖版.xlsx]2.平均发行期限'!$A$2:$A$38</c:f>
              <c:strCache>
                <c:ptCount val="37"/>
                <c:pt idx="0">
                  <c:v>西藏</c:v>
                </c:pt>
                <c:pt idx="1">
                  <c:v>北京</c:v>
                </c:pt>
                <c:pt idx="2">
                  <c:v>上海</c:v>
                </c:pt>
                <c:pt idx="3">
                  <c:v>青岛</c:v>
                </c:pt>
                <c:pt idx="4">
                  <c:v>安徽</c:v>
                </c:pt>
                <c:pt idx="5">
                  <c:v>江苏</c:v>
                </c:pt>
                <c:pt idx="6">
                  <c:v>天津</c:v>
                </c:pt>
                <c:pt idx="7">
                  <c:v>云南</c:v>
                </c:pt>
                <c:pt idx="8">
                  <c:v>宁波</c:v>
                </c:pt>
                <c:pt idx="9">
                  <c:v>吉林</c:v>
                </c:pt>
                <c:pt idx="10">
                  <c:v>江西</c:v>
                </c:pt>
                <c:pt idx="11">
                  <c:v>山东</c:v>
                </c:pt>
                <c:pt idx="12">
                  <c:v>海南</c:v>
                </c:pt>
                <c:pt idx="13">
                  <c:v>湖北</c:v>
                </c:pt>
                <c:pt idx="14">
                  <c:v>山西</c:v>
                </c:pt>
                <c:pt idx="15">
                  <c:v>广东</c:v>
                </c:pt>
                <c:pt idx="16">
                  <c:v>河南</c:v>
                </c:pt>
                <c:pt idx="17">
                  <c:v>福建</c:v>
                </c:pt>
                <c:pt idx="18">
                  <c:v>陕西</c:v>
                </c:pt>
                <c:pt idx="19">
                  <c:v>广西</c:v>
                </c:pt>
                <c:pt idx="20">
                  <c:v>浙江</c:v>
                </c:pt>
                <c:pt idx="21">
                  <c:v>厦门</c:v>
                </c:pt>
                <c:pt idx="22">
                  <c:v>深圳</c:v>
                </c:pt>
                <c:pt idx="23">
                  <c:v>青海</c:v>
                </c:pt>
                <c:pt idx="24">
                  <c:v>河北</c:v>
                </c:pt>
                <c:pt idx="25">
                  <c:v>宁夏</c:v>
                </c:pt>
                <c:pt idx="26">
                  <c:v>四川</c:v>
                </c:pt>
                <c:pt idx="27">
                  <c:v>重庆</c:v>
                </c:pt>
                <c:pt idx="28">
                  <c:v>甘肃</c:v>
                </c:pt>
                <c:pt idx="29">
                  <c:v>湖南</c:v>
                </c:pt>
                <c:pt idx="30">
                  <c:v>内蒙</c:v>
                </c:pt>
                <c:pt idx="31">
                  <c:v>新疆</c:v>
                </c:pt>
                <c:pt idx="32">
                  <c:v>黑龙江</c:v>
                </c:pt>
                <c:pt idx="33">
                  <c:v>辽宁</c:v>
                </c:pt>
                <c:pt idx="34">
                  <c:v>贵州</c:v>
                </c:pt>
                <c:pt idx="35">
                  <c:v>大连</c:v>
                </c:pt>
                <c:pt idx="36">
                  <c:v>兵团</c:v>
                </c:pt>
              </c:strCache>
            </c:strRef>
          </c:cat>
          <c:val>
            <c:numRef>
              <c:f>'[数据采集 12月一级市场 竖版.xlsx]2.平均发行期限'!$B$2:$B$38</c:f>
              <c:numCache>
                <c:formatCode>0.0_ </c:formatCode>
                <c:ptCount val="37"/>
                <c:pt idx="0">
                  <c:v>4.705692187500004</c:v>
                </c:pt>
                <c:pt idx="1">
                  <c:v>5.6882018200664763</c:v>
                </c:pt>
                <c:pt idx="2">
                  <c:v>6.3383826429980301</c:v>
                </c:pt>
                <c:pt idx="3">
                  <c:v>6.7091172214182295</c:v>
                </c:pt>
                <c:pt idx="4">
                  <c:v>7.1744718827758964</c:v>
                </c:pt>
                <c:pt idx="5">
                  <c:v>7.18472811415349</c:v>
                </c:pt>
                <c:pt idx="6">
                  <c:v>7.5423231202526271</c:v>
                </c:pt>
                <c:pt idx="7">
                  <c:v>7.5594238340298014</c:v>
                </c:pt>
                <c:pt idx="8">
                  <c:v>8.0770771502831238</c:v>
                </c:pt>
                <c:pt idx="9">
                  <c:v>8.1138409608551036</c:v>
                </c:pt>
                <c:pt idx="10">
                  <c:v>8.1178602151850008</c:v>
                </c:pt>
                <c:pt idx="11">
                  <c:v>8.1713888137296671</c:v>
                </c:pt>
                <c:pt idx="12">
                  <c:v>8.1779233736065038</c:v>
                </c:pt>
                <c:pt idx="13">
                  <c:v>8.2099960294275327</c:v>
                </c:pt>
                <c:pt idx="14">
                  <c:v>8.2863771711503116</c:v>
                </c:pt>
                <c:pt idx="15">
                  <c:v>8.4308160422257696</c:v>
                </c:pt>
                <c:pt idx="16">
                  <c:v>9.2036022033699219</c:v>
                </c:pt>
                <c:pt idx="17">
                  <c:v>9.506487987239737</c:v>
                </c:pt>
                <c:pt idx="18">
                  <c:v>10.315451653665312</c:v>
                </c:pt>
                <c:pt idx="19">
                  <c:v>10.5106564814885</c:v>
                </c:pt>
                <c:pt idx="20">
                  <c:v>10.5176762046327</c:v>
                </c:pt>
                <c:pt idx="21">
                  <c:v>10.75</c:v>
                </c:pt>
                <c:pt idx="22">
                  <c:v>10.9316629347241</c:v>
                </c:pt>
                <c:pt idx="23">
                  <c:v>11.202781016126806</c:v>
                </c:pt>
                <c:pt idx="24">
                  <c:v>11.9105574988151</c:v>
                </c:pt>
                <c:pt idx="25">
                  <c:v>11.966234972558107</c:v>
                </c:pt>
                <c:pt idx="26">
                  <c:v>12.0107790942421</c:v>
                </c:pt>
                <c:pt idx="27">
                  <c:v>12.850378999441499</c:v>
                </c:pt>
                <c:pt idx="28">
                  <c:v>13.458122808979304</c:v>
                </c:pt>
                <c:pt idx="29">
                  <c:v>13.712725873098799</c:v>
                </c:pt>
                <c:pt idx="30">
                  <c:v>13.835027644464606</c:v>
                </c:pt>
                <c:pt idx="31">
                  <c:v>14.018634758728908</c:v>
                </c:pt>
                <c:pt idx="32">
                  <c:v>15.0586226182345</c:v>
                </c:pt>
                <c:pt idx="33">
                  <c:v>16.385588504107879</c:v>
                </c:pt>
                <c:pt idx="34">
                  <c:v>16.609021142897515</c:v>
                </c:pt>
                <c:pt idx="35">
                  <c:v>20.511692727600614</c:v>
                </c:pt>
                <c:pt idx="36">
                  <c:v>21.635657779080013</c:v>
                </c:pt>
              </c:numCache>
            </c:numRef>
          </c:val>
        </c:ser>
        <c:dLbls>
          <c:showVal val="1"/>
        </c:dLbls>
        <c:gapWidth val="182"/>
        <c:axId val="283582464"/>
        <c:axId val="283584384"/>
      </c:barChart>
      <c:catAx>
        <c:axId val="283582464"/>
        <c:scaling>
          <c:orientation val="minMax"/>
        </c:scaling>
        <c:axPos val="l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仿宋_GB2312" panose="02010609030101010101" charset="-122"/>
                <a:ea typeface="仿宋_GB2312" panose="02010609030101010101" charset="-122"/>
                <a:cs typeface="仿宋_GB2312" panose="02010609030101010101" charset="-122"/>
                <a:sym typeface="仿宋_GB2312" panose="02010609030101010101" charset="-122"/>
              </a:defRPr>
            </a:pPr>
            <a:endParaRPr lang="zh-CN"/>
          </a:p>
        </c:txPr>
        <c:crossAx val="283584384"/>
        <c:crosses val="autoZero"/>
        <c:auto val="1"/>
        <c:lblAlgn val="ctr"/>
        <c:lblOffset val="100"/>
      </c:catAx>
      <c:valAx>
        <c:axId val="28358438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_ " sourceLinked="1"/>
        <c:majorTickMark val="none"/>
        <c:tickLblPos val="nextTo"/>
        <c:crossAx val="283582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200">
          <a:latin typeface="仿宋_GB2312" panose="02010609030101010101" charset="-122"/>
          <a:ea typeface="仿宋_GB2312" panose="02010609030101010101" charset="-122"/>
          <a:cs typeface="仿宋_GB2312" panose="02010609030101010101" charset="-122"/>
          <a:sym typeface="仿宋_GB2312" panose="02010609030101010101" charset="-122"/>
        </a:defRPr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'[数据采集 12月一级市场 竖版.xlsx]3.平均发行利率'!$B$1</c:f>
              <c:strCache>
                <c:ptCount val="1"/>
                <c:pt idx="0">
                  <c:v>平均发行利率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仿宋_GB2312" panose="02010609030101010101" charset="-122"/>
                    <a:ea typeface="仿宋_GB2312" panose="02010609030101010101" charset="-122"/>
                    <a:cs typeface="仿宋_GB2312" panose="02010609030101010101" charset="-122"/>
                    <a:sym typeface="仿宋_GB2312" panose="02010609030101010101" charset="-122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'[数据采集 12月一级市场 竖版.xlsx]3.平均发行利率'!$A$2:$A$38</c:f>
              <c:strCache>
                <c:ptCount val="37"/>
                <c:pt idx="0">
                  <c:v>西藏</c:v>
                </c:pt>
                <c:pt idx="1">
                  <c:v>上海</c:v>
                </c:pt>
                <c:pt idx="2">
                  <c:v>北京</c:v>
                </c:pt>
                <c:pt idx="3">
                  <c:v>江苏</c:v>
                </c:pt>
                <c:pt idx="4">
                  <c:v>云南</c:v>
                </c:pt>
                <c:pt idx="5">
                  <c:v>江西</c:v>
                </c:pt>
                <c:pt idx="6">
                  <c:v>山东</c:v>
                </c:pt>
                <c:pt idx="7">
                  <c:v>安徽</c:v>
                </c:pt>
                <c:pt idx="8">
                  <c:v>天津</c:v>
                </c:pt>
                <c:pt idx="9">
                  <c:v>青岛</c:v>
                </c:pt>
                <c:pt idx="10">
                  <c:v>湖北</c:v>
                </c:pt>
                <c:pt idx="11">
                  <c:v>宁波</c:v>
                </c:pt>
                <c:pt idx="12">
                  <c:v>山西</c:v>
                </c:pt>
                <c:pt idx="13">
                  <c:v>广东</c:v>
                </c:pt>
                <c:pt idx="14">
                  <c:v>吉林</c:v>
                </c:pt>
                <c:pt idx="15">
                  <c:v>河南</c:v>
                </c:pt>
                <c:pt idx="16">
                  <c:v>海南</c:v>
                </c:pt>
                <c:pt idx="17">
                  <c:v>浙江</c:v>
                </c:pt>
                <c:pt idx="18">
                  <c:v>厦门</c:v>
                </c:pt>
                <c:pt idx="19">
                  <c:v>福建</c:v>
                </c:pt>
                <c:pt idx="20">
                  <c:v>深圳</c:v>
                </c:pt>
                <c:pt idx="21">
                  <c:v>重庆</c:v>
                </c:pt>
                <c:pt idx="22">
                  <c:v>宁夏</c:v>
                </c:pt>
                <c:pt idx="23">
                  <c:v>青海</c:v>
                </c:pt>
                <c:pt idx="24">
                  <c:v>内蒙</c:v>
                </c:pt>
                <c:pt idx="25">
                  <c:v>河北</c:v>
                </c:pt>
                <c:pt idx="26">
                  <c:v>湖南</c:v>
                </c:pt>
                <c:pt idx="27">
                  <c:v>广西</c:v>
                </c:pt>
                <c:pt idx="28">
                  <c:v>陕西</c:v>
                </c:pt>
                <c:pt idx="29">
                  <c:v>四川</c:v>
                </c:pt>
                <c:pt idx="30">
                  <c:v>甘肃</c:v>
                </c:pt>
                <c:pt idx="31">
                  <c:v>贵州</c:v>
                </c:pt>
                <c:pt idx="32">
                  <c:v>辽宁</c:v>
                </c:pt>
                <c:pt idx="33">
                  <c:v>黑龙江</c:v>
                </c:pt>
                <c:pt idx="34">
                  <c:v>新疆</c:v>
                </c:pt>
                <c:pt idx="35">
                  <c:v>兵团</c:v>
                </c:pt>
                <c:pt idx="36">
                  <c:v>大连</c:v>
                </c:pt>
              </c:strCache>
            </c:strRef>
          </c:cat>
          <c:val>
            <c:numRef>
              <c:f>'[数据采集 12月一级市场 竖版.xlsx]3.平均发行利率'!$B$2:$B$38</c:f>
              <c:numCache>
                <c:formatCode>0.00_ </c:formatCode>
                <c:ptCount val="37"/>
                <c:pt idx="0">
                  <c:v>3.1589189374999997</c:v>
                </c:pt>
                <c:pt idx="1">
                  <c:v>3.278468639053246</c:v>
                </c:pt>
                <c:pt idx="2">
                  <c:v>3.2988852929417702</c:v>
                </c:pt>
                <c:pt idx="3">
                  <c:v>3.3470185464362112</c:v>
                </c:pt>
                <c:pt idx="4">
                  <c:v>3.3589510635153101</c:v>
                </c:pt>
                <c:pt idx="5">
                  <c:v>3.3705794012241181</c:v>
                </c:pt>
                <c:pt idx="6">
                  <c:v>3.37068356246162</c:v>
                </c:pt>
                <c:pt idx="7">
                  <c:v>3.3746630662264301</c:v>
                </c:pt>
                <c:pt idx="8">
                  <c:v>3.38794469574123</c:v>
                </c:pt>
                <c:pt idx="9">
                  <c:v>3.3905123010130187</c:v>
                </c:pt>
                <c:pt idx="10">
                  <c:v>3.3913590887108387</c:v>
                </c:pt>
                <c:pt idx="11">
                  <c:v>3.3919485738650672</c:v>
                </c:pt>
                <c:pt idx="12">
                  <c:v>3.4004000002642085</c:v>
                </c:pt>
                <c:pt idx="13">
                  <c:v>3.4063105773617912</c:v>
                </c:pt>
                <c:pt idx="14">
                  <c:v>3.4146345601566117</c:v>
                </c:pt>
                <c:pt idx="15">
                  <c:v>3.4350175155491987</c:v>
                </c:pt>
                <c:pt idx="16">
                  <c:v>3.4448979849877799</c:v>
                </c:pt>
                <c:pt idx="17">
                  <c:v>3.4492495974235085</c:v>
                </c:pt>
                <c:pt idx="18">
                  <c:v>3.4557291666666701</c:v>
                </c:pt>
                <c:pt idx="19">
                  <c:v>3.47368949796136</c:v>
                </c:pt>
                <c:pt idx="20">
                  <c:v>3.4872588645446587</c:v>
                </c:pt>
                <c:pt idx="21">
                  <c:v>3.5104216069576317</c:v>
                </c:pt>
                <c:pt idx="22">
                  <c:v>3.5111866937413598</c:v>
                </c:pt>
                <c:pt idx="23">
                  <c:v>3.5230838043810602</c:v>
                </c:pt>
                <c:pt idx="24">
                  <c:v>3.5299043315065801</c:v>
                </c:pt>
                <c:pt idx="25">
                  <c:v>3.533937358687842</c:v>
                </c:pt>
                <c:pt idx="26">
                  <c:v>3.5625560024590701</c:v>
                </c:pt>
                <c:pt idx="27">
                  <c:v>3.5757697576621319</c:v>
                </c:pt>
                <c:pt idx="28">
                  <c:v>3.5769361757915101</c:v>
                </c:pt>
                <c:pt idx="29">
                  <c:v>3.6008018242176711</c:v>
                </c:pt>
                <c:pt idx="30">
                  <c:v>3.6216217688322829</c:v>
                </c:pt>
                <c:pt idx="31">
                  <c:v>3.6425548166662312</c:v>
                </c:pt>
                <c:pt idx="32">
                  <c:v>3.6631400823251719</c:v>
                </c:pt>
                <c:pt idx="33">
                  <c:v>3.67575970101786</c:v>
                </c:pt>
                <c:pt idx="34">
                  <c:v>3.7003285602196918</c:v>
                </c:pt>
                <c:pt idx="35">
                  <c:v>3.8077750512745401</c:v>
                </c:pt>
                <c:pt idx="36">
                  <c:v>3.849896189149618</c:v>
                </c:pt>
              </c:numCache>
            </c:numRef>
          </c:val>
        </c:ser>
        <c:dLbls>
          <c:showVal val="1"/>
        </c:dLbls>
        <c:gapWidth val="182"/>
        <c:axId val="297799680"/>
        <c:axId val="297801216"/>
      </c:barChart>
      <c:catAx>
        <c:axId val="297799680"/>
        <c:scaling>
          <c:orientation val="minMax"/>
        </c:scaling>
        <c:axPos val="l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仿宋_GB2312" panose="02010609030101010101" charset="-122"/>
                <a:ea typeface="仿宋_GB2312" panose="02010609030101010101" charset="-122"/>
                <a:cs typeface="仿宋_GB2312" panose="02010609030101010101" charset="-122"/>
                <a:sym typeface="仿宋_GB2312" panose="02010609030101010101" charset="-122"/>
              </a:defRPr>
            </a:pPr>
            <a:endParaRPr lang="zh-CN"/>
          </a:p>
        </c:txPr>
        <c:crossAx val="297801216"/>
        <c:crosses val="autoZero"/>
        <c:auto val="1"/>
        <c:lblAlgn val="ctr"/>
        <c:lblOffset val="100"/>
      </c:catAx>
      <c:valAx>
        <c:axId val="297801216"/>
        <c:scaling>
          <c:orientation val="minMax"/>
          <c:min val="3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 " sourceLinked="1"/>
        <c:tickLblPos val="nextTo"/>
        <c:crossAx val="297799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200">
          <a:latin typeface="仿宋_GB2312" panose="02010609030101010101" charset="-122"/>
          <a:ea typeface="仿宋_GB2312" panose="02010609030101010101" charset="-122"/>
          <a:cs typeface="仿宋_GB2312" panose="02010609030101010101" charset="-122"/>
          <a:sym typeface="仿宋_GB2312" panose="02010609030101010101" charset="-122"/>
        </a:defRPr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'[数据采集 12月一级市场 竖版.xlsx]4.平均上浮'!$B$1</c:f>
              <c:strCache>
                <c:ptCount val="1"/>
                <c:pt idx="0">
                  <c:v>平均上浮（BP)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仿宋_GB2312" panose="02010609030101010101" charset="-122"/>
                    <a:ea typeface="仿宋_GB2312" panose="02010609030101010101" charset="-122"/>
                    <a:cs typeface="仿宋_GB2312" panose="02010609030101010101" charset="-122"/>
                    <a:sym typeface="仿宋_GB2312" panose="02010609030101010101" charset="-122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'[数据采集 12月一级市场 竖版.xlsx]4.平均上浮'!$A$2:$A$38</c:f>
              <c:strCache>
                <c:ptCount val="37"/>
                <c:pt idx="0">
                  <c:v>北京</c:v>
                </c:pt>
                <c:pt idx="1">
                  <c:v>大连</c:v>
                </c:pt>
                <c:pt idx="2">
                  <c:v>广东</c:v>
                </c:pt>
                <c:pt idx="3">
                  <c:v>江苏</c:v>
                </c:pt>
                <c:pt idx="4">
                  <c:v>宁波</c:v>
                </c:pt>
                <c:pt idx="5">
                  <c:v>厦门</c:v>
                </c:pt>
                <c:pt idx="6">
                  <c:v>上海</c:v>
                </c:pt>
                <c:pt idx="7">
                  <c:v>深圳</c:v>
                </c:pt>
                <c:pt idx="8">
                  <c:v>西藏</c:v>
                </c:pt>
                <c:pt idx="9">
                  <c:v>浙江</c:v>
                </c:pt>
                <c:pt idx="10">
                  <c:v>重庆</c:v>
                </c:pt>
                <c:pt idx="11">
                  <c:v>山西</c:v>
                </c:pt>
                <c:pt idx="12">
                  <c:v>江西</c:v>
                </c:pt>
                <c:pt idx="13">
                  <c:v>湖北</c:v>
                </c:pt>
                <c:pt idx="14">
                  <c:v>甘肃</c:v>
                </c:pt>
                <c:pt idx="15">
                  <c:v>青岛</c:v>
                </c:pt>
                <c:pt idx="16">
                  <c:v>贵州</c:v>
                </c:pt>
                <c:pt idx="17">
                  <c:v>海南</c:v>
                </c:pt>
                <c:pt idx="18">
                  <c:v>湖南</c:v>
                </c:pt>
                <c:pt idx="19">
                  <c:v>青海</c:v>
                </c:pt>
                <c:pt idx="20">
                  <c:v>福建</c:v>
                </c:pt>
                <c:pt idx="21">
                  <c:v>河北</c:v>
                </c:pt>
                <c:pt idx="22">
                  <c:v>宁夏</c:v>
                </c:pt>
                <c:pt idx="23">
                  <c:v>黑龙江</c:v>
                </c:pt>
                <c:pt idx="24">
                  <c:v>山东</c:v>
                </c:pt>
                <c:pt idx="25">
                  <c:v>四川</c:v>
                </c:pt>
                <c:pt idx="26">
                  <c:v>河南</c:v>
                </c:pt>
                <c:pt idx="27">
                  <c:v>云南</c:v>
                </c:pt>
                <c:pt idx="28">
                  <c:v>内蒙</c:v>
                </c:pt>
                <c:pt idx="29">
                  <c:v>天津</c:v>
                </c:pt>
                <c:pt idx="30">
                  <c:v>陕西</c:v>
                </c:pt>
                <c:pt idx="31">
                  <c:v>广西</c:v>
                </c:pt>
                <c:pt idx="32">
                  <c:v>兵团</c:v>
                </c:pt>
                <c:pt idx="33">
                  <c:v>安徽</c:v>
                </c:pt>
                <c:pt idx="34">
                  <c:v>辽宁</c:v>
                </c:pt>
                <c:pt idx="35">
                  <c:v>吉林</c:v>
                </c:pt>
                <c:pt idx="36">
                  <c:v>新疆</c:v>
                </c:pt>
              </c:strCache>
            </c:strRef>
          </c:cat>
          <c:val>
            <c:numRef>
              <c:f>'[数据采集 12月一级市场 竖版.xlsx]4.平均上浮'!$B$2:$B$38</c:f>
              <c:numCache>
                <c:formatCode>0.0_ </c:formatCode>
                <c:ptCount val="37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  <c:pt idx="9">
                  <c:v>25</c:v>
                </c:pt>
                <c:pt idx="10">
                  <c:v>25</c:v>
                </c:pt>
                <c:pt idx="11">
                  <c:v>25.015873015873005</c:v>
                </c:pt>
                <c:pt idx="12">
                  <c:v>25.035714285714281</c:v>
                </c:pt>
                <c:pt idx="13">
                  <c:v>25.487804878048799</c:v>
                </c:pt>
                <c:pt idx="14">
                  <c:v>25.681818181818219</c:v>
                </c:pt>
                <c:pt idx="15">
                  <c:v>26.071428571428587</c:v>
                </c:pt>
                <c:pt idx="16">
                  <c:v>26.470588235294088</c:v>
                </c:pt>
                <c:pt idx="17">
                  <c:v>26.695652173912986</c:v>
                </c:pt>
                <c:pt idx="18">
                  <c:v>26.9</c:v>
                </c:pt>
                <c:pt idx="19">
                  <c:v>26.923076923076888</c:v>
                </c:pt>
                <c:pt idx="20">
                  <c:v>27</c:v>
                </c:pt>
                <c:pt idx="21">
                  <c:v>27.093023255814</c:v>
                </c:pt>
                <c:pt idx="22">
                  <c:v>27.363636363636385</c:v>
                </c:pt>
                <c:pt idx="23">
                  <c:v>27.526315789473699</c:v>
                </c:pt>
                <c:pt idx="24">
                  <c:v>27.632653061224513</c:v>
                </c:pt>
                <c:pt idx="25">
                  <c:v>28.083333333333265</c:v>
                </c:pt>
                <c:pt idx="26">
                  <c:v>28.181818181818219</c:v>
                </c:pt>
                <c:pt idx="27">
                  <c:v>28.214285714285719</c:v>
                </c:pt>
                <c:pt idx="28">
                  <c:v>28.23333333333327</c:v>
                </c:pt>
                <c:pt idx="29">
                  <c:v>28.24074074074068</c:v>
                </c:pt>
                <c:pt idx="30">
                  <c:v>28.8888888888889</c:v>
                </c:pt>
                <c:pt idx="31">
                  <c:v>29.55</c:v>
                </c:pt>
                <c:pt idx="32">
                  <c:v>30</c:v>
                </c:pt>
                <c:pt idx="33">
                  <c:v>30.625</c:v>
                </c:pt>
                <c:pt idx="34">
                  <c:v>30.777777777777789</c:v>
                </c:pt>
                <c:pt idx="35">
                  <c:v>31.212121212121179</c:v>
                </c:pt>
                <c:pt idx="36">
                  <c:v>33.200000000000003</c:v>
                </c:pt>
              </c:numCache>
            </c:numRef>
          </c:val>
        </c:ser>
        <c:dLbls>
          <c:showVal val="1"/>
        </c:dLbls>
        <c:gapWidth val="182"/>
        <c:axId val="297839232"/>
        <c:axId val="297958016"/>
      </c:barChart>
      <c:catAx>
        <c:axId val="297839232"/>
        <c:scaling>
          <c:orientation val="minMax"/>
        </c:scaling>
        <c:axPos val="l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仿宋_GB2312" panose="02010609030101010101" charset="-122"/>
                <a:ea typeface="仿宋_GB2312" panose="02010609030101010101" charset="-122"/>
                <a:cs typeface="仿宋_GB2312" panose="02010609030101010101" charset="-122"/>
                <a:sym typeface="仿宋_GB2312" panose="02010609030101010101" charset="-122"/>
              </a:defRPr>
            </a:pPr>
            <a:endParaRPr lang="zh-CN"/>
          </a:p>
        </c:txPr>
        <c:crossAx val="297958016"/>
        <c:crosses val="autoZero"/>
        <c:auto val="1"/>
        <c:lblAlgn val="ctr"/>
        <c:lblOffset val="100"/>
      </c:catAx>
      <c:valAx>
        <c:axId val="297958016"/>
        <c:scaling>
          <c:orientation val="minMax"/>
          <c:min val="22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_ " sourceLinked="1"/>
        <c:tickLblPos val="nextTo"/>
        <c:crossAx val="297839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200">
          <a:latin typeface="仿宋_GB2312" panose="02010609030101010101" charset="-122"/>
          <a:ea typeface="仿宋_GB2312" panose="02010609030101010101" charset="-122"/>
          <a:cs typeface="仿宋_GB2312" panose="02010609030101010101" charset="-122"/>
          <a:sym typeface="仿宋_GB2312" panose="02010609030101010101" charset="-122"/>
        </a:defRPr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'[数据采集 12月一级市场 竖版.xlsx]5.平均投标倍数'!$B$1</c:f>
              <c:strCache>
                <c:ptCount val="1"/>
                <c:pt idx="0">
                  <c:v>平均投标倍数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仿宋_GB2312" panose="02010609030101010101" charset="-122"/>
                    <a:ea typeface="仿宋_GB2312" panose="02010609030101010101" charset="-122"/>
                    <a:cs typeface="仿宋_GB2312" panose="02010609030101010101" charset="-122"/>
                    <a:sym typeface="仿宋_GB2312" panose="02010609030101010101" charset="-122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'[数据采集 12月一级市场 竖版.xlsx]5.平均投标倍数'!$A$2:$A$38</c:f>
              <c:strCache>
                <c:ptCount val="37"/>
                <c:pt idx="0">
                  <c:v>北京</c:v>
                </c:pt>
                <c:pt idx="1">
                  <c:v>上海</c:v>
                </c:pt>
                <c:pt idx="2">
                  <c:v>西藏</c:v>
                </c:pt>
                <c:pt idx="3">
                  <c:v>内蒙</c:v>
                </c:pt>
                <c:pt idx="4">
                  <c:v>兵团</c:v>
                </c:pt>
                <c:pt idx="5">
                  <c:v>新疆</c:v>
                </c:pt>
                <c:pt idx="6">
                  <c:v>安徽</c:v>
                </c:pt>
                <c:pt idx="7">
                  <c:v>吉林</c:v>
                </c:pt>
                <c:pt idx="8">
                  <c:v>黑龙江</c:v>
                </c:pt>
                <c:pt idx="9">
                  <c:v>辽宁</c:v>
                </c:pt>
                <c:pt idx="10">
                  <c:v>湖北</c:v>
                </c:pt>
                <c:pt idx="11">
                  <c:v>四川</c:v>
                </c:pt>
                <c:pt idx="12">
                  <c:v>江苏</c:v>
                </c:pt>
                <c:pt idx="13">
                  <c:v>湖南</c:v>
                </c:pt>
                <c:pt idx="14">
                  <c:v>深圳</c:v>
                </c:pt>
                <c:pt idx="15">
                  <c:v>大连</c:v>
                </c:pt>
                <c:pt idx="16">
                  <c:v>厦门</c:v>
                </c:pt>
                <c:pt idx="17">
                  <c:v>山西</c:v>
                </c:pt>
                <c:pt idx="18">
                  <c:v>广东</c:v>
                </c:pt>
                <c:pt idx="19">
                  <c:v>广西</c:v>
                </c:pt>
                <c:pt idx="20">
                  <c:v>宁夏</c:v>
                </c:pt>
                <c:pt idx="21">
                  <c:v>河北</c:v>
                </c:pt>
                <c:pt idx="22">
                  <c:v>海南</c:v>
                </c:pt>
                <c:pt idx="23">
                  <c:v>江西</c:v>
                </c:pt>
                <c:pt idx="24">
                  <c:v>重庆</c:v>
                </c:pt>
                <c:pt idx="25">
                  <c:v>浙江</c:v>
                </c:pt>
                <c:pt idx="26">
                  <c:v>青岛</c:v>
                </c:pt>
                <c:pt idx="27">
                  <c:v>甘肃</c:v>
                </c:pt>
                <c:pt idx="28">
                  <c:v>宁波</c:v>
                </c:pt>
                <c:pt idx="29">
                  <c:v>山东</c:v>
                </c:pt>
                <c:pt idx="30">
                  <c:v>青海</c:v>
                </c:pt>
                <c:pt idx="31">
                  <c:v>福建</c:v>
                </c:pt>
                <c:pt idx="32">
                  <c:v>天津</c:v>
                </c:pt>
                <c:pt idx="33">
                  <c:v>陕西</c:v>
                </c:pt>
                <c:pt idx="34">
                  <c:v>贵州</c:v>
                </c:pt>
                <c:pt idx="35">
                  <c:v>云南</c:v>
                </c:pt>
                <c:pt idx="36">
                  <c:v>河南</c:v>
                </c:pt>
              </c:strCache>
            </c:strRef>
          </c:cat>
          <c:val>
            <c:numRef>
              <c:f>'[数据采集 12月一级市场 竖版.xlsx]5.平均投标倍数'!$B$2:$B$38</c:f>
              <c:numCache>
                <c:formatCode>0.00_ </c:formatCode>
                <c:ptCount val="37"/>
                <c:pt idx="0">
                  <c:v>5.5482000000000014</c:v>
                </c:pt>
                <c:pt idx="1">
                  <c:v>6.2656538461538496</c:v>
                </c:pt>
                <c:pt idx="2">
                  <c:v>8.1028625000000005</c:v>
                </c:pt>
                <c:pt idx="3">
                  <c:v>9.152676666666677</c:v>
                </c:pt>
                <c:pt idx="4">
                  <c:v>9.5873575396825448</c:v>
                </c:pt>
                <c:pt idx="5">
                  <c:v>10.448143999999999</c:v>
                </c:pt>
                <c:pt idx="6">
                  <c:v>11.293938461538492</c:v>
                </c:pt>
                <c:pt idx="7">
                  <c:v>11.416403448275902</c:v>
                </c:pt>
                <c:pt idx="8">
                  <c:v>11.7434722222222</c:v>
                </c:pt>
                <c:pt idx="9">
                  <c:v>12.523284615384608</c:v>
                </c:pt>
                <c:pt idx="10">
                  <c:v>12.732407317073207</c:v>
                </c:pt>
                <c:pt idx="11">
                  <c:v>13.601424242424304</c:v>
                </c:pt>
                <c:pt idx="12">
                  <c:v>14.082540000000007</c:v>
                </c:pt>
                <c:pt idx="13">
                  <c:v>14.802625000000004</c:v>
                </c:pt>
                <c:pt idx="14">
                  <c:v>14.879200000000004</c:v>
                </c:pt>
                <c:pt idx="15">
                  <c:v>15.257925</c:v>
                </c:pt>
                <c:pt idx="16">
                  <c:v>15.604000000000001</c:v>
                </c:pt>
                <c:pt idx="17">
                  <c:v>15.710517647058799</c:v>
                </c:pt>
                <c:pt idx="18">
                  <c:v>15.7691690909091</c:v>
                </c:pt>
                <c:pt idx="19">
                  <c:v>16.684425000000001</c:v>
                </c:pt>
                <c:pt idx="20">
                  <c:v>16.887633333333266</c:v>
                </c:pt>
                <c:pt idx="21">
                  <c:v>17.182872151150999</c:v>
                </c:pt>
                <c:pt idx="22">
                  <c:v>17.400708695652199</c:v>
                </c:pt>
                <c:pt idx="23">
                  <c:v>17.430026086956499</c:v>
                </c:pt>
                <c:pt idx="24">
                  <c:v>17.565999999999985</c:v>
                </c:pt>
                <c:pt idx="25">
                  <c:v>18.3952357142857</c:v>
                </c:pt>
                <c:pt idx="26">
                  <c:v>19.624311428571414</c:v>
                </c:pt>
                <c:pt idx="27">
                  <c:v>19.906068421052627</c:v>
                </c:pt>
                <c:pt idx="28">
                  <c:v>20.583112499999981</c:v>
                </c:pt>
                <c:pt idx="29">
                  <c:v>20.953201844907781</c:v>
                </c:pt>
                <c:pt idx="30">
                  <c:v>21.620264285714299</c:v>
                </c:pt>
                <c:pt idx="31">
                  <c:v>22.0065542056075</c:v>
                </c:pt>
                <c:pt idx="32">
                  <c:v>22.398379204745879</c:v>
                </c:pt>
                <c:pt idx="33">
                  <c:v>23.050350000000005</c:v>
                </c:pt>
                <c:pt idx="34">
                  <c:v>23.4798529411765</c:v>
                </c:pt>
                <c:pt idx="35">
                  <c:v>25.795757486734487</c:v>
                </c:pt>
                <c:pt idx="36">
                  <c:v>30.922143844907865</c:v>
                </c:pt>
              </c:numCache>
            </c:numRef>
          </c:val>
        </c:ser>
        <c:dLbls>
          <c:showVal val="1"/>
        </c:dLbls>
        <c:gapWidth val="182"/>
        <c:axId val="331702272"/>
        <c:axId val="332076160"/>
      </c:barChart>
      <c:catAx>
        <c:axId val="331702272"/>
        <c:scaling>
          <c:orientation val="minMax"/>
        </c:scaling>
        <c:axPos val="l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仿宋_GB2312" panose="02010609030101010101" charset="-122"/>
                <a:ea typeface="仿宋_GB2312" panose="02010609030101010101" charset="-122"/>
                <a:cs typeface="仿宋_GB2312" panose="02010609030101010101" charset="-122"/>
                <a:sym typeface="仿宋_GB2312" panose="02010609030101010101" charset="-122"/>
              </a:defRPr>
            </a:pPr>
            <a:endParaRPr lang="zh-CN"/>
          </a:p>
        </c:txPr>
        <c:crossAx val="332076160"/>
        <c:crosses val="autoZero"/>
        <c:auto val="1"/>
        <c:lblAlgn val="ctr"/>
        <c:lblOffset val="100"/>
      </c:catAx>
      <c:valAx>
        <c:axId val="33207616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 " sourceLinked="1"/>
        <c:majorTickMark val="none"/>
        <c:tickLblPos val="nextTo"/>
        <c:crossAx val="33170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200">
          <a:latin typeface="仿宋_GB2312" panose="02010609030101010101" charset="-122"/>
          <a:ea typeface="仿宋_GB2312" panose="02010609030101010101" charset="-122"/>
          <a:cs typeface="仿宋_GB2312" panose="02010609030101010101" charset="-122"/>
          <a:sym typeface="仿宋_GB2312" panose="02010609030101010101" charset="-122"/>
        </a:defRPr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09DC96-7F15-45C7-9012-2F7686D7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叶辰宸</dc:creator>
  <cp:lastModifiedBy>许雯珏</cp:lastModifiedBy>
  <cp:revision>25</cp:revision>
  <cp:lastPrinted>2020-01-19T07:29:00Z</cp:lastPrinted>
  <dcterms:created xsi:type="dcterms:W3CDTF">2019-08-30T07:29:00Z</dcterms:created>
  <dcterms:modified xsi:type="dcterms:W3CDTF">2020-01-21T02:54:00Z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